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</w:tblGrid>
      <w:tr w:rsidR="002718B4" w:rsidTr="003D3F3D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D3F3D" w:rsidRDefault="002718B4">
            <w:pPr>
              <w:pStyle w:val="a3"/>
              <w:rPr>
                <w:sz w:val="18"/>
                <w:szCs w:val="18"/>
              </w:rPr>
            </w:pPr>
            <w:r w:rsidRPr="003D3F3D">
              <w:rPr>
                <w:color w:val="000000"/>
                <w:sz w:val="18"/>
                <w:szCs w:val="18"/>
              </w:rPr>
              <w:t>Додаток</w:t>
            </w:r>
            <w:r w:rsidRPr="003D3F3D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Default="002718B4">
      <w:pPr>
        <w:pStyle w:val="a3"/>
        <w:jc w:val="both"/>
      </w:pPr>
      <w: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1A0018">
        <w:rPr>
          <w:color w:val="000000"/>
        </w:rPr>
        <w:t xml:space="preserve">ОСТІ БЮДЖЕТНОЇ ПРОГРАМИ </w:t>
      </w:r>
      <w:r w:rsidR="001A0018">
        <w:rPr>
          <w:color w:val="000000"/>
        </w:rPr>
        <w:br/>
        <w:t>за 2022</w:t>
      </w:r>
      <w:r>
        <w:rPr>
          <w:color w:val="000000"/>
        </w:rPr>
        <w:t xml:space="preserve">рік </w:t>
      </w:r>
    </w:p>
    <w:tbl>
      <w:tblPr>
        <w:tblW w:w="1440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7"/>
      </w:tblGrid>
      <w:tr w:rsidR="002718B4" w:rsidTr="003D3F3D">
        <w:trPr>
          <w:tblCellSpacing w:w="15" w:type="dxa"/>
          <w:jc w:val="center"/>
        </w:trPr>
        <w:tc>
          <w:tcPr>
            <w:tcW w:w="1434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</w:t>
            </w:r>
            <w:r w:rsidR="00504665">
              <w:rPr>
                <w:color w:val="000000"/>
              </w:rPr>
              <w:t xml:space="preserve">і </w:t>
            </w:r>
            <w:r>
              <w:rPr>
                <w:color w:val="000000"/>
              </w:rPr>
              <w:t>туризму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</w:t>
            </w:r>
            <w:r w:rsidR="00504665"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 туризму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80E23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DC3698">
              <w:rPr>
                <w:color w:val="000000"/>
              </w:rPr>
              <w:t>101108</w:t>
            </w:r>
            <w:r>
              <w:rPr>
                <w:color w:val="000000"/>
              </w:rPr>
              <w:t>0</w:t>
            </w:r>
            <w:r w:rsidR="003D3F3D">
              <w:rPr>
                <w:color w:val="000000"/>
              </w:rPr>
              <w:t xml:space="preserve"> </w:t>
            </w:r>
            <w:r w:rsidR="002D309D">
              <w:rPr>
                <w:color w:val="000000"/>
              </w:rPr>
              <w:t xml:space="preserve"> </w:t>
            </w:r>
            <w:r w:rsidR="0058324C">
              <w:rPr>
                <w:color w:val="000000"/>
              </w:rPr>
              <w:t xml:space="preserve"> 0960</w:t>
            </w:r>
            <w:r w:rsidR="002718B4" w:rsidRPr="00853389">
              <w:rPr>
                <w:color w:val="000000"/>
              </w:rPr>
              <w:t xml:space="preserve"> </w:t>
            </w:r>
            <w:r w:rsidR="003D3F3D">
              <w:rPr>
                <w:color w:val="000000"/>
              </w:rPr>
              <w:t xml:space="preserve"> </w:t>
            </w:r>
            <w:r w:rsidR="007A0828">
              <w:rPr>
                <w:color w:val="000000"/>
              </w:rPr>
              <w:t xml:space="preserve"> </w:t>
            </w:r>
            <w:r w:rsidRPr="003D3F3D">
              <w:rPr>
                <w:b/>
                <w:color w:val="000000"/>
              </w:rPr>
              <w:t>Надання спеціа</w:t>
            </w:r>
            <w:r w:rsidR="00504665">
              <w:rPr>
                <w:b/>
                <w:color w:val="000000"/>
              </w:rPr>
              <w:t>льної освіти мистецькими школами.</w:t>
            </w:r>
            <w:r w:rsidR="002718B4" w:rsidRPr="003D3F3D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3D3F3D" w:rsidRDefault="002718B4" w:rsidP="007F57C1">
            <w:pPr>
              <w:pStyle w:val="a3"/>
              <w:rPr>
                <w:b/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3D3F3D">
              <w:rPr>
                <w:color w:val="000000"/>
              </w:rPr>
              <w:t xml:space="preserve"> </w:t>
            </w:r>
            <w:r w:rsidR="003D3F3D" w:rsidRPr="003D3F3D">
              <w:rPr>
                <w:b/>
                <w:color w:val="000000"/>
              </w:rPr>
              <w:t>Духовне та есте</w:t>
            </w:r>
            <w:r w:rsidR="003D3F3D">
              <w:rPr>
                <w:b/>
                <w:color w:val="000000"/>
              </w:rPr>
              <w:t>тичне виховання дітей та молоді</w:t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78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17"/>
        <w:gridCol w:w="1111"/>
        <w:gridCol w:w="1348"/>
        <w:gridCol w:w="1012"/>
        <w:gridCol w:w="1111"/>
        <w:gridCol w:w="1348"/>
        <w:gridCol w:w="1012"/>
        <w:gridCol w:w="1111"/>
        <w:gridCol w:w="1348"/>
        <w:gridCol w:w="1168"/>
      </w:tblGrid>
      <w:tr w:rsidR="002718B4" w:rsidTr="00EB6142">
        <w:trPr>
          <w:trHeight w:val="382"/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EB6142">
        <w:trPr>
          <w:trHeight w:val="165"/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EB6142">
        <w:trPr>
          <w:trHeight w:val="1567"/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0E23">
            <w:pPr>
              <w:pStyle w:val="a3"/>
            </w:pPr>
            <w:r w:rsidRPr="00280E23">
              <w:t>Надання спеціал</w:t>
            </w:r>
            <w:r w:rsidR="00504665">
              <w:t>ьної освіти мистецькими школами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3088,2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60,0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 w:rsidP="007A0DB4">
            <w:pPr>
              <w:pStyle w:val="a3"/>
              <w:jc w:val="center"/>
            </w:pPr>
            <w:r>
              <w:t>3148,2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3016,4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21,1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3037,5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-71,7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-38,9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0018">
            <w:pPr>
              <w:pStyle w:val="a3"/>
              <w:jc w:val="center"/>
            </w:pPr>
            <w:r>
              <w:t>-110,6</w:t>
            </w:r>
          </w:p>
        </w:tc>
      </w:tr>
      <w:tr w:rsidR="002718B4" w:rsidTr="00EB6142">
        <w:trPr>
          <w:trHeight w:val="622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A06FDB">
            <w:pPr>
              <w:pStyle w:val="a3"/>
            </w:pPr>
            <w:r>
              <w:lastRenderedPageBreak/>
              <w:tab/>
            </w:r>
            <w:r w:rsidR="00443623">
              <w:t xml:space="preserve">В умовах воєнного стану </w:t>
            </w:r>
            <w:r w:rsidR="00A06FDB">
              <w:t>видатки здійснювались в особливому режимі, працівники деякий час знаходились в простої, в результаті чого була економія коштів по КЕКВ 2111- 12,8 тис. грн, КЕКВ 2120 – 13,4 тис.</w:t>
            </w:r>
            <w:r w:rsidR="00494E56">
              <w:t xml:space="preserve"> </w:t>
            </w:r>
            <w:r w:rsidR="00A06FDB">
              <w:t xml:space="preserve">грн., в зв’язку з обмеженням </w:t>
            </w:r>
            <w:r w:rsidR="00494E56">
              <w:t>проведення видатків не були укладені договори по КЕКВ 2210 та КЕКВ 2240, також економія коштів склалась по КЕКВ 2270.</w:t>
            </w:r>
            <w:r w:rsidR="00504665" w:rsidRPr="00504665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 w:rsidR="0023178E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D50DFF">
            <w: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50DFF" w:rsidP="00F3508C">
            <w:r>
              <w:t>21,1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D50DFF" w:rsidP="0023178E">
            <w:pPr>
              <w:jc w:val="center"/>
            </w:pPr>
            <w:r>
              <w:t>-38,9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23178E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  <w:r w:rsidR="00D50DFF"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50DFF" w:rsidP="00F3508C">
            <w:r>
              <w:t>21,1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D50DFF" w:rsidP="0023178E">
            <w:pPr>
              <w:jc w:val="center"/>
            </w:pPr>
            <w:r>
              <w:t>-38,9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23178E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2133" w:type="dxa"/>
        <w:jc w:val="center"/>
        <w:tblCellSpacing w:w="15" w:type="dxa"/>
        <w:tblInd w:w="-2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3"/>
      </w:tblGrid>
      <w:tr w:rsidR="002718B4" w:rsidTr="003D3F3D">
        <w:trPr>
          <w:trHeight w:val="74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327"/>
        <w:gridCol w:w="1509"/>
        <w:gridCol w:w="565"/>
        <w:gridCol w:w="547"/>
        <w:gridCol w:w="582"/>
        <w:gridCol w:w="768"/>
        <w:gridCol w:w="582"/>
        <w:gridCol w:w="280"/>
        <w:gridCol w:w="519"/>
        <w:gridCol w:w="592"/>
        <w:gridCol w:w="528"/>
        <w:gridCol w:w="822"/>
        <w:gridCol w:w="526"/>
        <w:gridCol w:w="445"/>
        <w:gridCol w:w="481"/>
        <w:gridCol w:w="631"/>
        <w:gridCol w:w="483"/>
        <w:gridCol w:w="1306"/>
        <w:gridCol w:w="32"/>
        <w:gridCol w:w="32"/>
        <w:gridCol w:w="1440"/>
        <w:gridCol w:w="83"/>
      </w:tblGrid>
      <w:tr w:rsidR="002718B4" w:rsidTr="00DC3698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9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87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DC3698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50DFF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FF" w:rsidRDefault="00D50DFF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FF" w:rsidRDefault="00D50DFF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3088,2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60,0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3148,2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3016,4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21,1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3037,5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-71,7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Pr="00A0433F" w:rsidRDefault="00D50DFF" w:rsidP="00A30193">
            <w:r w:rsidRPr="00A0433F">
              <w:t>-38,9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DFF" w:rsidRDefault="00D50DFF" w:rsidP="00A30193">
            <w:r w:rsidRPr="00A0433F">
              <w:t>-110,6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 w:rsidP="00451C36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</w:t>
            </w:r>
            <w:r w:rsidR="00F96758">
              <w:rPr>
                <w:color w:val="000000"/>
              </w:rPr>
              <w:t>ими результативними показниками: економія виникла за рахунок економії енергоносіїв.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>Кількість учнів на одну педагогічну ставку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>Відхилень між фактичними та плановими результативними показниками ефективності  нема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t xml:space="preserve">динаміка збільшення </w:t>
            </w:r>
            <w:r>
              <w:lastRenderedPageBreak/>
              <w:t xml:space="preserve">кількості учнів, які </w:t>
            </w:r>
            <w:r w:rsidR="00F9423F">
              <w:t>отримують освіту у школах естетичного виховання у плановому періоді</w:t>
            </w:r>
            <w:r w:rsidR="00005C19">
              <w:t xml:space="preserve"> відповідно до фактичного показника попереднього року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</w:t>
            </w:r>
            <w:r w:rsidR="00005C19">
              <w:rPr>
                <w:color w:val="000000"/>
              </w:rPr>
              <w:t>1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005C19"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F1262E" w:rsidRPr="00853389">
              <w:rPr>
                <w:color w:val="000000"/>
              </w:rPr>
              <w:t>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lastRenderedPageBreak/>
              <w:t>Результативні п</w:t>
            </w:r>
            <w:r w:rsidR="00005C19">
              <w:t xml:space="preserve">оказники якості у плановому періоді до фактичного показника попереднього періоду не змінювались </w:t>
            </w:r>
          </w:p>
        </w:tc>
      </w:tr>
      <w:tr w:rsidR="00F1262E" w:rsidTr="00DC3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0" w:type="pct"/>
          <w:wAfter w:w="593" w:type="pct"/>
          <w:tblCellSpacing w:w="15" w:type="dxa"/>
          <w:jc w:val="center"/>
        </w:trPr>
        <w:tc>
          <w:tcPr>
            <w:tcW w:w="4352" w:type="pct"/>
            <w:gridSpan w:val="18"/>
            <w:vAlign w:val="center"/>
            <w:hideMark/>
          </w:tcPr>
          <w:p w:rsidR="00F1262E" w:rsidRPr="00603EB4" w:rsidRDefault="00F1262E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F1262E" w:rsidRDefault="00F1262E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7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3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7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77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9451E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1EE" w:rsidRDefault="009451E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1EE" w:rsidRDefault="009451EE">
            <w:pPr>
              <w:pStyle w:val="a3"/>
            </w:pPr>
            <w:r w:rsidRPr="00F94836">
              <w:t>Надання спеціа</w:t>
            </w:r>
            <w:r>
              <w:t>льної освіти мистецькими школами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9451EE" w:rsidP="00DC3698">
            <w:pPr>
              <w:jc w:val="center"/>
            </w:pPr>
          </w:p>
          <w:p w:rsidR="009451EE" w:rsidRDefault="009451EE" w:rsidP="00DC3698">
            <w:pPr>
              <w:jc w:val="center"/>
            </w:pPr>
          </w:p>
          <w:p w:rsidR="009451EE" w:rsidRPr="00F647C3" w:rsidRDefault="009451EE" w:rsidP="00DC3698">
            <w:pPr>
              <w:jc w:val="center"/>
            </w:pPr>
            <w:r w:rsidRPr="00F647C3">
              <w:t>2990,7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9451EE" w:rsidP="00DC3698">
            <w:pPr>
              <w:jc w:val="center"/>
            </w:pPr>
          </w:p>
          <w:p w:rsidR="009451EE" w:rsidRDefault="009451EE" w:rsidP="00DC3698">
            <w:pPr>
              <w:jc w:val="center"/>
            </w:pPr>
          </w:p>
          <w:p w:rsidR="009451EE" w:rsidRPr="00F647C3" w:rsidRDefault="009451EE" w:rsidP="00DC3698">
            <w:pPr>
              <w:jc w:val="center"/>
            </w:pPr>
            <w:r w:rsidRPr="00F647C3">
              <w:t>56,5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9451EE" w:rsidP="00DC3698">
            <w:pPr>
              <w:jc w:val="center"/>
            </w:pPr>
          </w:p>
          <w:p w:rsidR="009451EE" w:rsidRDefault="009451EE" w:rsidP="00DC3698">
            <w:pPr>
              <w:jc w:val="center"/>
            </w:pPr>
          </w:p>
          <w:p w:rsidR="009451EE" w:rsidRDefault="009451EE" w:rsidP="00DC3698">
            <w:pPr>
              <w:jc w:val="center"/>
            </w:pPr>
            <w:r w:rsidRPr="00F647C3">
              <w:t>3047,2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Pr="00EF5D4C" w:rsidRDefault="009451EE" w:rsidP="00DC3698">
            <w:pPr>
              <w:jc w:val="center"/>
            </w:pPr>
            <w:r>
              <w:t>3016,4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Pr="00EF5D4C" w:rsidRDefault="009451EE" w:rsidP="00DC3698">
            <w:pPr>
              <w:jc w:val="center"/>
            </w:pPr>
            <w:r>
              <w:t>21,0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9451EE" w:rsidP="00DC3698">
            <w:pPr>
              <w:jc w:val="center"/>
            </w:pPr>
            <w:r>
              <w:t>3037,4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DC3698" w:rsidP="00DC3698">
            <w:pPr>
              <w:pStyle w:val="a3"/>
              <w:jc w:val="center"/>
            </w:pPr>
            <w:r>
              <w:t>46,7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DC3698" w:rsidP="00DC3698">
            <w:pPr>
              <w:pStyle w:val="a3"/>
              <w:jc w:val="center"/>
            </w:pPr>
            <w:r>
              <w:t>-35,5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EE" w:rsidRDefault="00DC3698" w:rsidP="00DC3698">
            <w:pPr>
              <w:pStyle w:val="a3"/>
              <w:jc w:val="center"/>
            </w:pPr>
            <w:r>
              <w:t>11,2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494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 w:rsidP="001F484F">
            <w:pPr>
              <w:pStyle w:val="a3"/>
              <w:jc w:val="center"/>
            </w:pPr>
            <w:r>
              <w:rPr>
                <w:color w:val="000000"/>
              </w:rPr>
              <w:t xml:space="preserve">Видатки </w:t>
            </w:r>
            <w:r w:rsidR="00DC3698">
              <w:rPr>
                <w:color w:val="000000"/>
              </w:rPr>
              <w:t xml:space="preserve"> по загальному фонду </w:t>
            </w:r>
            <w:r>
              <w:rPr>
                <w:color w:val="000000"/>
              </w:rPr>
              <w:t>збільшились порівняно із показниками попереднього року за рахунок підвищення заробітної плати та  підвищення тарифів на енергоносії.</w:t>
            </w:r>
            <w:r w:rsidR="00E65A9A">
              <w:rPr>
                <w:color w:val="000000"/>
              </w:rPr>
              <w:t xml:space="preserve"> </w:t>
            </w:r>
            <w:r w:rsidR="00A1115D">
              <w:rPr>
                <w:color w:val="000000"/>
              </w:rPr>
              <w:t>По спеці</w:t>
            </w:r>
            <w:r w:rsidR="00F94836">
              <w:rPr>
                <w:color w:val="000000"/>
              </w:rPr>
              <w:t>а</w:t>
            </w:r>
            <w:r w:rsidR="0059440D">
              <w:rPr>
                <w:color w:val="000000"/>
              </w:rPr>
              <w:t>льному фонду видатки з</w:t>
            </w:r>
            <w:r w:rsidR="00C83F69">
              <w:rPr>
                <w:color w:val="000000"/>
              </w:rPr>
              <w:t>меншились, у зв’язку із зменшенням</w:t>
            </w:r>
            <w:r w:rsidR="00F94836">
              <w:rPr>
                <w:color w:val="000000"/>
              </w:rPr>
              <w:t xml:space="preserve"> надходжень до спеціального фонду.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C3698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698" w:rsidRDefault="00DC369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698" w:rsidRDefault="00DC3698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jc w:val="center"/>
            </w:pPr>
          </w:p>
          <w:p w:rsidR="00DC3698" w:rsidRDefault="00DC3698" w:rsidP="00E82EC4">
            <w:pPr>
              <w:jc w:val="center"/>
            </w:pPr>
          </w:p>
          <w:p w:rsidR="00DC3698" w:rsidRPr="00F647C3" w:rsidRDefault="00DC3698" w:rsidP="00E82EC4">
            <w:pPr>
              <w:jc w:val="center"/>
            </w:pPr>
            <w:r w:rsidRPr="00F647C3">
              <w:t>2990,7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jc w:val="center"/>
            </w:pPr>
          </w:p>
          <w:p w:rsidR="00DC3698" w:rsidRDefault="00DC3698" w:rsidP="00E82EC4">
            <w:pPr>
              <w:jc w:val="center"/>
            </w:pPr>
          </w:p>
          <w:p w:rsidR="00DC3698" w:rsidRPr="00F647C3" w:rsidRDefault="00DC3698" w:rsidP="00E82EC4">
            <w:pPr>
              <w:jc w:val="center"/>
            </w:pPr>
            <w:r w:rsidRPr="00F647C3">
              <w:t>56,5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jc w:val="center"/>
            </w:pPr>
          </w:p>
          <w:p w:rsidR="00DC3698" w:rsidRDefault="00DC3698" w:rsidP="00E82EC4">
            <w:pPr>
              <w:jc w:val="center"/>
            </w:pPr>
          </w:p>
          <w:p w:rsidR="00DC3698" w:rsidRDefault="00DC3698" w:rsidP="00E82EC4">
            <w:pPr>
              <w:jc w:val="center"/>
            </w:pPr>
            <w:r w:rsidRPr="00F647C3">
              <w:t>3047,2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Pr="00EF5D4C" w:rsidRDefault="00DC3698" w:rsidP="00E82EC4">
            <w:pPr>
              <w:jc w:val="center"/>
            </w:pPr>
            <w:r>
              <w:t>3016,4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Pr="00EF5D4C" w:rsidRDefault="00DC3698" w:rsidP="00E82EC4">
            <w:pPr>
              <w:jc w:val="center"/>
            </w:pPr>
            <w:r>
              <w:t>21,0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jc w:val="center"/>
            </w:pPr>
            <w:r>
              <w:t>3037,4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pStyle w:val="a3"/>
              <w:jc w:val="center"/>
            </w:pPr>
            <w:r>
              <w:t>46,7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pStyle w:val="a3"/>
              <w:jc w:val="center"/>
            </w:pPr>
            <w:r>
              <w:t>-35,5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3698" w:rsidRDefault="00DC3698" w:rsidP="00E82EC4">
            <w:pPr>
              <w:pStyle w:val="a3"/>
              <w:jc w:val="center"/>
            </w:pPr>
            <w:r>
              <w:t>11,2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5E1D7B">
            <w:pPr>
              <w:pStyle w:val="a3"/>
            </w:pPr>
            <w:r>
              <w:rPr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BB595A">
            <w:pPr>
              <w:pStyle w:val="a3"/>
            </w:pPr>
            <w:r>
              <w:rPr>
                <w:color w:val="000000"/>
              </w:rPr>
              <w:t>Кількість учнів на 1 педагогічну ставку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262E" w:rsidRPr="00E41201" w:rsidRDefault="00BB595A" w:rsidP="00BB595A">
            <w:pPr>
              <w:rPr>
                <w:bCs/>
              </w:rPr>
            </w:pPr>
            <w:r>
              <w:rPr>
                <w:bCs/>
              </w:rPr>
              <w:t>Динаміка збільшення кількості учнів, які отримують 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F1262E" w:rsidTr="00DC3698">
        <w:trPr>
          <w:gridAfter w:val="1"/>
          <w:wAfter w:w="22" w:type="pct"/>
          <w:tblCellSpacing w:w="15" w:type="dxa"/>
          <w:jc w:val="center"/>
        </w:trPr>
        <w:tc>
          <w:tcPr>
            <w:tcW w:w="494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28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2"/>
      </w:tblGrid>
      <w:tr w:rsidR="002718B4" w:rsidTr="003D3F3D">
        <w:trPr>
          <w:trHeight w:val="37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DC3698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  <w:r w:rsidR="002718B4" w:rsidRPr="00853389">
              <w:rPr>
                <w:color w:val="000000"/>
              </w:rPr>
              <w:t xml:space="preserve">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935188">
              <w:rPr>
                <w:color w:val="000000"/>
              </w:rPr>
              <w:t xml:space="preserve">фінансових порушень </w:t>
            </w:r>
            <w:r w:rsidR="008B3D7C">
              <w:rPr>
                <w:color w:val="000000"/>
              </w:rPr>
              <w:t xml:space="preserve">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DC3698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5.1</w:t>
            </w:r>
            <w:r w:rsidR="002718B4" w:rsidRPr="00853389">
              <w:rPr>
                <w:color w:val="000000"/>
              </w:rPr>
              <w:t xml:space="preserve">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="002718B4"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ефективності бюджетної програми:</w:t>
            </w:r>
            <w:r w:rsidRPr="00F96758">
              <w:rPr>
                <w:color w:val="000000"/>
              </w:rPr>
              <w:t xml:space="preserve">  аналіз стану ефективності програми свідчить про те, що </w:t>
            </w:r>
            <w:r>
              <w:rPr>
                <w:color w:val="000000"/>
              </w:rPr>
              <w:t>виконання результативних показників програми</w:t>
            </w:r>
            <w:r w:rsidRPr="00F96758">
              <w:rPr>
                <w:color w:val="000000"/>
              </w:rPr>
              <w:t xml:space="preserve"> в повному обсязі забезпечує виконання завдань, реалізацію повноважень, визначених законодавством, в повному обсязі,  відповідно до головної мети діяльності за бюд</w:t>
            </w:r>
            <w:r>
              <w:rPr>
                <w:color w:val="000000"/>
              </w:rPr>
              <w:t>ж</w:t>
            </w:r>
            <w:r w:rsidR="0023178E">
              <w:rPr>
                <w:color w:val="000000"/>
              </w:rPr>
              <w:t>етною програмою по КПКВК 1011080</w:t>
            </w:r>
            <w:r w:rsidRPr="00F96758">
              <w:rPr>
                <w:color w:val="000000"/>
              </w:rPr>
              <w:t>.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корисності бюджетної програм:</w:t>
            </w:r>
            <w:r w:rsidRPr="00F96758">
              <w:rPr>
                <w:color w:val="000000"/>
              </w:rPr>
              <w:t xml:space="preserve"> вико</w:t>
            </w:r>
            <w:r>
              <w:rPr>
                <w:color w:val="000000"/>
              </w:rPr>
              <w:t>нання бюджетної програми в повному обсязі забезпечує</w:t>
            </w:r>
            <w:r>
              <w:t xml:space="preserve"> </w:t>
            </w:r>
            <w:r>
              <w:rPr>
                <w:color w:val="000000"/>
              </w:rPr>
              <w:t>духовне</w:t>
            </w:r>
            <w:r w:rsidRPr="00F96758">
              <w:rPr>
                <w:color w:val="000000"/>
              </w:rPr>
              <w:t xml:space="preserve"> та естетичне виховання дітей та молоді .</w:t>
            </w:r>
          </w:p>
          <w:p w:rsidR="002718B4" w:rsidRDefault="00F96758" w:rsidP="00F96758">
            <w:pPr>
              <w:pStyle w:val="a3"/>
              <w:jc w:val="both"/>
            </w:pPr>
            <w:r w:rsidRPr="00F96758">
              <w:rPr>
                <w:b/>
                <w:color w:val="000000"/>
              </w:rPr>
              <w:t xml:space="preserve"> довгострокових наслідків бюджетної програми:</w:t>
            </w:r>
            <w:r w:rsidRPr="00F96758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</w:p>
        </w:tc>
      </w:tr>
    </w:tbl>
    <w:p w:rsidR="00886E36" w:rsidRDefault="00886E36"/>
    <w:p w:rsidR="00886E36" w:rsidRDefault="00886E36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23178E" w:rsidRDefault="0023178E"/>
    <w:p w:rsidR="0023178E" w:rsidRDefault="0023178E"/>
    <w:p w:rsidR="0023178E" w:rsidRDefault="0023178E"/>
    <w:p w:rsidR="0023178E" w:rsidRDefault="0023178E"/>
    <w:p w:rsidR="0023178E" w:rsidRDefault="0023178E"/>
    <w:p w:rsidR="0023178E" w:rsidRDefault="0023178E"/>
    <w:p w:rsidR="0023178E" w:rsidRDefault="0023178E"/>
    <w:p w:rsidR="0023178E" w:rsidRDefault="0023178E"/>
    <w:p w:rsidR="00ED0F29" w:rsidRDefault="00ED0F29"/>
    <w:p w:rsidR="00ED0F29" w:rsidRDefault="00ED0F29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lastRenderedPageBreak/>
        <w:t>Аналіз ефективності  виконання бюджетної програми</w:t>
      </w:r>
    </w:p>
    <w:p w:rsidR="00886E36" w:rsidRPr="008E7FC4" w:rsidRDefault="00DC3698" w:rsidP="00B63D9B">
      <w:pPr>
        <w:jc w:val="center"/>
        <w:rPr>
          <w:b/>
        </w:rPr>
      </w:pPr>
      <w:r>
        <w:rPr>
          <w:b/>
        </w:rPr>
        <w:t>по 1011080</w:t>
      </w:r>
      <w:r w:rsidR="00707194">
        <w:rPr>
          <w:b/>
        </w:rPr>
        <w:t xml:space="preserve"> «</w:t>
      </w:r>
      <w:r w:rsidRPr="00DC3698">
        <w:rPr>
          <w:b/>
        </w:rPr>
        <w:t>Надання спеціальної освіти мистецькими школами</w:t>
      </w:r>
      <w:r w:rsidR="00886E36" w:rsidRPr="008E7FC4">
        <w:rPr>
          <w:b/>
        </w:rPr>
        <w:t>»</w:t>
      </w:r>
    </w:p>
    <w:p w:rsidR="002718B4" w:rsidRPr="008E7FC4" w:rsidRDefault="00DC3698" w:rsidP="00B63D9B">
      <w:pPr>
        <w:jc w:val="center"/>
        <w:rPr>
          <w:b/>
        </w:rPr>
      </w:pPr>
      <w:r>
        <w:rPr>
          <w:b/>
        </w:rPr>
        <w:t>за 2022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 xml:space="preserve">Програма : </w:t>
      </w:r>
      <w:r w:rsidRPr="00707194">
        <w:t>Надання спеціа</w:t>
      </w:r>
      <w:r w:rsidR="0023178E">
        <w:t>льної освіти мистецькими школами</w:t>
      </w:r>
    </w:p>
    <w:p w:rsidR="00886E36" w:rsidRDefault="00707194" w:rsidP="003D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07194">
        <w:rPr>
          <w:b/>
        </w:rPr>
        <w:t>Мета:</w:t>
      </w:r>
      <w:r w:rsidRPr="00707194">
        <w:t xml:space="preserve"> Забезпечення надання спеціалізованої освіти школами естетичного виховання (музичними, художніми, хореографічними, театральними, хоровими,</w:t>
      </w:r>
      <w:r w:rsidR="003D3F3D">
        <w:t xml:space="preserve"> мистецькими)</w:t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725589">
            <w:r>
              <w:t>Попередній пері</w:t>
            </w:r>
            <w:r w:rsidR="00421CF7">
              <w:t>од (2021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421CF7">
            <w:r>
              <w:t>Звітний період (2022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>
              <w:t>Кількість учнів на одну педагогічну ставку</w:t>
            </w:r>
          </w:p>
        </w:tc>
        <w:tc>
          <w:tcPr>
            <w:tcW w:w="1853" w:type="dxa"/>
          </w:tcPr>
          <w:p w:rsidR="000E4F01" w:rsidRDefault="000F18BB">
            <w:r>
              <w:t>6</w:t>
            </w:r>
          </w:p>
        </w:tc>
        <w:tc>
          <w:tcPr>
            <w:tcW w:w="1407" w:type="dxa"/>
          </w:tcPr>
          <w:p w:rsidR="000E4F01" w:rsidRDefault="000F18BB">
            <w:r>
              <w:t>6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6</w:t>
            </w:r>
          </w:p>
        </w:tc>
        <w:tc>
          <w:tcPr>
            <w:tcW w:w="1375" w:type="dxa"/>
          </w:tcPr>
          <w:p w:rsidR="000E4F01" w:rsidRDefault="000F18BB">
            <w:r>
              <w:t>6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 w:rsidRPr="000F18BB">
              <w:t>Динаміка збільшення кількості учнів, які отримують 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1853" w:type="dxa"/>
          </w:tcPr>
          <w:p w:rsidR="000E4F01" w:rsidRDefault="000F18BB">
            <w:r>
              <w:t>0</w:t>
            </w:r>
          </w:p>
        </w:tc>
        <w:tc>
          <w:tcPr>
            <w:tcW w:w="1407" w:type="dxa"/>
          </w:tcPr>
          <w:p w:rsidR="000E4F01" w:rsidRDefault="000F18BB">
            <w:r>
              <w:t>0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0</w:t>
            </w:r>
          </w:p>
        </w:tc>
        <w:tc>
          <w:tcPr>
            <w:tcW w:w="1375" w:type="dxa"/>
          </w:tcPr>
          <w:p w:rsidR="000E4F01" w:rsidRDefault="000F18BB">
            <w:r>
              <w:t>0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(6:6)</w:t>
      </w:r>
      <w:r>
        <w:t xml:space="preserve">:1*100=100  </w:t>
      </w:r>
      <w:r w:rsidR="00196E77">
        <w:rPr>
          <w:u w:val="single"/>
        </w:rPr>
        <w:t>за 2021</w:t>
      </w:r>
      <w:r w:rsidRPr="00127C65">
        <w:rPr>
          <w:u w:val="single"/>
        </w:rPr>
        <w:t>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196E77">
        <w:rPr>
          <w:u w:val="single"/>
        </w:rPr>
        <w:t>2022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Pr="00D45A4C">
        <w:rPr>
          <w:u w:val="single"/>
        </w:rPr>
        <w:t>за</w:t>
      </w:r>
      <w:r w:rsidR="00196E77">
        <w:rPr>
          <w:u w:val="single"/>
        </w:rPr>
        <w:t xml:space="preserve"> 2021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196E77">
        <w:rPr>
          <w:u w:val="single"/>
        </w:rPr>
        <w:t>за 2022</w:t>
      </w:r>
      <w:r w:rsidRPr="00D45A4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196E77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t>:І</w:t>
      </w:r>
      <w:r w:rsidR="00196E77">
        <w:rPr>
          <w:sz w:val="16"/>
          <w:szCs w:val="16"/>
        </w:rPr>
        <w:t>(еф2021</w:t>
      </w:r>
      <w:bookmarkStart w:id="0" w:name="_GoBack"/>
      <w:bookmarkEnd w:id="0"/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838DF">
        <w:t>= 100:100=1</w:t>
      </w:r>
    </w:p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lastRenderedPageBreak/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1F1634">
        <w:rPr>
          <w:sz w:val="16"/>
          <w:szCs w:val="16"/>
        </w:rPr>
        <w:t>(еф2021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1F1634">
        <w:rPr>
          <w:sz w:val="16"/>
          <w:szCs w:val="16"/>
        </w:rPr>
        <w:t xml:space="preserve"> 2021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AD6CAB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E4F01"/>
    <w:rsid w:val="000F18BB"/>
    <w:rsid w:val="00127C65"/>
    <w:rsid w:val="00155B77"/>
    <w:rsid w:val="00196E77"/>
    <w:rsid w:val="001A0018"/>
    <w:rsid w:val="001A72A7"/>
    <w:rsid w:val="001B43E2"/>
    <w:rsid w:val="001F1634"/>
    <w:rsid w:val="001F484F"/>
    <w:rsid w:val="00207103"/>
    <w:rsid w:val="00216444"/>
    <w:rsid w:val="0023178E"/>
    <w:rsid w:val="002706E0"/>
    <w:rsid w:val="002718B4"/>
    <w:rsid w:val="002724B9"/>
    <w:rsid w:val="00280E23"/>
    <w:rsid w:val="0029733E"/>
    <w:rsid w:val="002D309D"/>
    <w:rsid w:val="00316E0C"/>
    <w:rsid w:val="00335ABC"/>
    <w:rsid w:val="0033629D"/>
    <w:rsid w:val="003519AC"/>
    <w:rsid w:val="00370BB8"/>
    <w:rsid w:val="003972A3"/>
    <w:rsid w:val="003D3F3D"/>
    <w:rsid w:val="00421CF7"/>
    <w:rsid w:val="00441A7A"/>
    <w:rsid w:val="00443623"/>
    <w:rsid w:val="00451C36"/>
    <w:rsid w:val="00484F94"/>
    <w:rsid w:val="00494E56"/>
    <w:rsid w:val="004B0D70"/>
    <w:rsid w:val="004E4CEA"/>
    <w:rsid w:val="004F3265"/>
    <w:rsid w:val="004F451B"/>
    <w:rsid w:val="00504665"/>
    <w:rsid w:val="005120EB"/>
    <w:rsid w:val="00515E3B"/>
    <w:rsid w:val="00547DA3"/>
    <w:rsid w:val="00575389"/>
    <w:rsid w:val="0058324C"/>
    <w:rsid w:val="0059008B"/>
    <w:rsid w:val="0059440D"/>
    <w:rsid w:val="00597228"/>
    <w:rsid w:val="005A7BA1"/>
    <w:rsid w:val="005B5D85"/>
    <w:rsid w:val="005E044F"/>
    <w:rsid w:val="005E0E42"/>
    <w:rsid w:val="005E1D7B"/>
    <w:rsid w:val="005E4707"/>
    <w:rsid w:val="00603EB4"/>
    <w:rsid w:val="00613807"/>
    <w:rsid w:val="006C7A20"/>
    <w:rsid w:val="00703831"/>
    <w:rsid w:val="00707194"/>
    <w:rsid w:val="00725589"/>
    <w:rsid w:val="00743C53"/>
    <w:rsid w:val="00772EF0"/>
    <w:rsid w:val="007A0828"/>
    <w:rsid w:val="007A0DB4"/>
    <w:rsid w:val="007F57C1"/>
    <w:rsid w:val="007F6FEF"/>
    <w:rsid w:val="00816DBF"/>
    <w:rsid w:val="00820144"/>
    <w:rsid w:val="00853389"/>
    <w:rsid w:val="00857787"/>
    <w:rsid w:val="00866059"/>
    <w:rsid w:val="00867667"/>
    <w:rsid w:val="00886E36"/>
    <w:rsid w:val="008916A2"/>
    <w:rsid w:val="008A6163"/>
    <w:rsid w:val="008B20BD"/>
    <w:rsid w:val="008B3D7C"/>
    <w:rsid w:val="008C5BCD"/>
    <w:rsid w:val="008E0C0E"/>
    <w:rsid w:val="008E7FC4"/>
    <w:rsid w:val="00935188"/>
    <w:rsid w:val="009451EE"/>
    <w:rsid w:val="009E7D2C"/>
    <w:rsid w:val="00A015BB"/>
    <w:rsid w:val="00A06FDB"/>
    <w:rsid w:val="00A1115D"/>
    <w:rsid w:val="00A13183"/>
    <w:rsid w:val="00A22E3A"/>
    <w:rsid w:val="00A2402A"/>
    <w:rsid w:val="00A50B6A"/>
    <w:rsid w:val="00A679A1"/>
    <w:rsid w:val="00AB63F6"/>
    <w:rsid w:val="00AB7986"/>
    <w:rsid w:val="00AD6CAB"/>
    <w:rsid w:val="00AF6F66"/>
    <w:rsid w:val="00B10718"/>
    <w:rsid w:val="00B35CED"/>
    <w:rsid w:val="00B63D9B"/>
    <w:rsid w:val="00BB1107"/>
    <w:rsid w:val="00BB595A"/>
    <w:rsid w:val="00BD70BB"/>
    <w:rsid w:val="00C15189"/>
    <w:rsid w:val="00C4371D"/>
    <w:rsid w:val="00C83F69"/>
    <w:rsid w:val="00CA6617"/>
    <w:rsid w:val="00CB72E3"/>
    <w:rsid w:val="00CC3120"/>
    <w:rsid w:val="00D45A4C"/>
    <w:rsid w:val="00D50DFF"/>
    <w:rsid w:val="00D838DF"/>
    <w:rsid w:val="00D847EE"/>
    <w:rsid w:val="00D94AD5"/>
    <w:rsid w:val="00DC3698"/>
    <w:rsid w:val="00DD11FA"/>
    <w:rsid w:val="00DD2EFE"/>
    <w:rsid w:val="00DE2855"/>
    <w:rsid w:val="00DF711D"/>
    <w:rsid w:val="00E23F15"/>
    <w:rsid w:val="00E41201"/>
    <w:rsid w:val="00E65A9A"/>
    <w:rsid w:val="00EB6142"/>
    <w:rsid w:val="00EC099F"/>
    <w:rsid w:val="00ED0F29"/>
    <w:rsid w:val="00EE0B34"/>
    <w:rsid w:val="00EE503D"/>
    <w:rsid w:val="00F1262E"/>
    <w:rsid w:val="00F17645"/>
    <w:rsid w:val="00F304AF"/>
    <w:rsid w:val="00F3508C"/>
    <w:rsid w:val="00F4422B"/>
    <w:rsid w:val="00F6334D"/>
    <w:rsid w:val="00F66F33"/>
    <w:rsid w:val="00F9423F"/>
    <w:rsid w:val="00F94836"/>
    <w:rsid w:val="00F96758"/>
    <w:rsid w:val="00FB5A3E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A07D-3E42-4640-9403-388545FB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5089</Words>
  <Characters>2901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9</cp:revision>
  <cp:lastPrinted>2020-02-21T09:42:00Z</cp:lastPrinted>
  <dcterms:created xsi:type="dcterms:W3CDTF">2021-01-23T16:03:00Z</dcterms:created>
  <dcterms:modified xsi:type="dcterms:W3CDTF">2023-02-09T08:13:00Z</dcterms:modified>
</cp:coreProperties>
</file>